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ind w:left="0"/>
        <w:rPr>
          <w:rFonts w:ascii="Times New Roman"/>
        </w:rPr>
      </w:pPr>
    </w:p>
    <w:p>
      <w:pPr>
        <w:pStyle w:val="Heading2"/>
      </w:pPr>
      <w:r>
        <w:rPr/>
        <w:t>Course</w:t>
      </w:r>
      <w:r>
        <w:rPr>
          <w:spacing w:val="-8"/>
        </w:rPr>
        <w:t> </w:t>
      </w:r>
      <w:r>
        <w:rPr/>
        <w:t>Title:</w:t>
      </w:r>
      <w:r>
        <w:rPr>
          <w:spacing w:val="-6"/>
        </w:rPr>
        <w:t> </w:t>
      </w:r>
      <w:r>
        <w:rPr/>
        <w:t>Modern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Technologies,</w:t>
      </w:r>
      <w:r>
        <w:rPr>
          <w:spacing w:val="-6"/>
        </w:rPr>
        <w:t> </w:t>
      </w:r>
      <w:r>
        <w:rPr/>
        <w:t>ESE</w:t>
      </w:r>
      <w:r>
        <w:rPr>
          <w:spacing w:val="-5"/>
        </w:rPr>
        <w:t> 509</w:t>
      </w:r>
    </w:p>
    <w:p>
      <w:pPr>
        <w:pStyle w:val="BodyText"/>
        <w:spacing w:before="20"/>
        <w:ind w:left="0"/>
        <w:rPr>
          <w:b/>
        </w:rPr>
      </w:pPr>
    </w:p>
    <w:p>
      <w:pPr>
        <w:spacing w:line="249" w:lineRule="auto" w:before="0"/>
        <w:ind w:left="220" w:right="27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0%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Fall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right="515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Modern Energy Technologies Course Instructor: Prof. Matthew D. Eisaman</w:t>
      </w:r>
    </w:p>
    <w:p>
      <w:pPr>
        <w:pStyle w:val="BodyText"/>
        <w:spacing w:before="13"/>
        <w:ind w:left="0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right="5824"/>
      </w:pPr>
      <w:r>
        <w:rPr/>
        <w:t>Email:</w:t>
      </w:r>
      <w:r>
        <w:rPr>
          <w:spacing w:val="-14"/>
        </w:rPr>
        <w:t> </w:t>
      </w:r>
      <w:hyperlink r:id="rId6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line="249" w:lineRule="auto" w:before="2"/>
        <w:ind w:right="5824"/>
      </w:pPr>
      <w:r>
        <w:rPr/>
        <w:t>Office</w:t>
      </w:r>
      <w:r>
        <w:rPr>
          <w:spacing w:val="-10"/>
        </w:rPr>
        <w:t> </w:t>
      </w:r>
      <w:r>
        <w:rPr/>
        <w:t>Location:</w:t>
      </w:r>
      <w:r>
        <w:rPr>
          <w:spacing w:val="-10"/>
        </w:rPr>
        <w:t> </w:t>
      </w:r>
      <w:r>
        <w:rPr/>
        <w:t>Light</w:t>
      </w:r>
      <w:r>
        <w:rPr>
          <w:spacing w:val="-10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145 Office Hours: Wed. 11am-1pm</w:t>
      </w:r>
    </w:p>
    <w:p>
      <w:pPr>
        <w:pStyle w:val="BodyText"/>
        <w:spacing w:before="11"/>
        <w:ind w:left="0"/>
      </w:pPr>
    </w:p>
    <w:p>
      <w:pPr>
        <w:pStyle w:val="Heading1"/>
        <w:spacing w:before="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DESCRIPTION</w:t>
      </w:r>
    </w:p>
    <w:p>
      <w:pPr>
        <w:pStyle w:val="BodyText"/>
        <w:spacing w:line="249" w:lineRule="auto"/>
        <w:ind w:right="278"/>
      </w:pPr>
      <w:r>
        <w:rPr/>
        <w:t>This course cover a broad array of technologies that are essential to the modern energy industry, specifically focusing on the most contemporary topics and “hot” areas of research, development, and deployment.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gain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quantitative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energy</w:t>
      </w:r>
      <w:r>
        <w:rPr>
          <w:spacing w:val="-4"/>
        </w:rPr>
        <w:t> </w:t>
      </w:r>
      <w:r>
        <w:rPr/>
        <w:t>generation</w:t>
      </w:r>
      <w:r>
        <w:rPr>
          <w:spacing w:val="-4"/>
        </w:rPr>
        <w:t> </w:t>
      </w:r>
      <w:r>
        <w:rPr/>
        <w:t>technologies, energy storage technologies, and pollution control technologies.</w:t>
      </w:r>
      <w:r>
        <w:rPr>
          <w:spacing w:val="40"/>
        </w:rPr>
        <w:t> </w:t>
      </w:r>
      <w:r>
        <w:rPr/>
        <w:t>For each of these topics, we will cover the physical principle of operation, as well as the economics and environmental impact.</w:t>
      </w:r>
    </w:p>
    <w:p>
      <w:pPr>
        <w:pStyle w:val="BodyText"/>
        <w:spacing w:before="13"/>
        <w:ind w:left="0"/>
      </w:pPr>
    </w:p>
    <w:p>
      <w:pPr>
        <w:spacing w:before="1"/>
        <w:ind w:left="220" w:right="0" w:firstLine="0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location:</w:t>
      </w:r>
      <w:r>
        <w:rPr>
          <w:b/>
          <w:spacing w:val="-4"/>
          <w:sz w:val="20"/>
        </w:rPr>
        <w:t> </w:t>
      </w:r>
      <w:r>
        <w:rPr>
          <w:sz w:val="20"/>
        </w:rPr>
        <w:t>Mondays</w:t>
      </w:r>
      <w:r>
        <w:rPr>
          <w:spacing w:val="-5"/>
          <w:sz w:val="20"/>
        </w:rPr>
        <w:t> </w:t>
      </w:r>
      <w:r>
        <w:rPr>
          <w:sz w:val="20"/>
        </w:rPr>
        <w:t>5:30pm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8:20pm,</w:t>
      </w:r>
      <w:r>
        <w:rPr>
          <w:spacing w:val="-4"/>
          <w:sz w:val="20"/>
        </w:rPr>
        <w:t> </w:t>
      </w:r>
      <w:r>
        <w:rPr>
          <w:sz w:val="20"/>
        </w:rPr>
        <w:t>Frey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216</w:t>
      </w:r>
    </w:p>
    <w:p>
      <w:pPr>
        <w:pStyle w:val="BodyText"/>
        <w:spacing w:before="20"/>
        <w:ind w:left="0"/>
      </w:pPr>
    </w:p>
    <w:p>
      <w:pPr>
        <w:spacing w:before="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</w:pP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>
          <w:spacing w:val="-2"/>
        </w:rPr>
        <w:t>discipline.</w:t>
      </w:r>
    </w:p>
    <w:p>
      <w:pPr>
        <w:pStyle w:val="BodyText"/>
        <w:spacing w:before="20"/>
        <w:ind w:left="0"/>
      </w:pPr>
    </w:p>
    <w:p>
      <w:pPr>
        <w:pStyle w:val="Heading2"/>
      </w:pPr>
      <w:r>
        <w:rPr/>
        <w:t>LEARNING</w:t>
      </w:r>
      <w:r>
        <w:rPr>
          <w:spacing w:val="-9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6"/>
        </w:rPr>
        <w:t> </w:t>
      </w:r>
      <w:r>
        <w:rPr/>
        <w:t>SBC’s</w:t>
      </w:r>
      <w:r>
        <w:rPr>
          <w:spacing w:val="-7"/>
        </w:rPr>
        <w:t> </w:t>
      </w:r>
      <w:r>
        <w:rPr>
          <w:color w:val="0000FF"/>
        </w:rPr>
        <w:t>Understand</w:t>
      </w:r>
      <w:r>
        <w:rPr>
          <w:color w:val="0000FF"/>
          <w:spacing w:val="-7"/>
        </w:rPr>
        <w:t> </w:t>
      </w:r>
      <w:r>
        <w:rPr>
          <w:color w:val="0000FF"/>
        </w:rPr>
        <w:t>Technology</w:t>
      </w:r>
      <w:r>
        <w:rPr>
          <w:color w:val="0000FF"/>
          <w:spacing w:val="-6"/>
        </w:rPr>
        <w:t> </w:t>
      </w:r>
      <w:r>
        <w:rPr>
          <w:color w:val="0000FF"/>
        </w:rPr>
        <w:t>(TECH)</w:t>
      </w:r>
      <w:r>
        <w:rPr>
          <w:color w:val="0000FF"/>
          <w:spacing w:val="-7"/>
        </w:rPr>
        <w:t> </w:t>
      </w:r>
      <w:r>
        <w:rPr>
          <w:color w:val="0000FF"/>
        </w:rPr>
        <w:t>learning</w:t>
      </w:r>
      <w:r>
        <w:rPr>
          <w:color w:val="0000FF"/>
          <w:spacing w:val="-7"/>
        </w:rPr>
        <w:t> </w:t>
      </w:r>
      <w:r>
        <w:rPr>
          <w:color w:val="0000FF"/>
        </w:rPr>
        <w:t>objective</w:t>
      </w:r>
      <w:r>
        <w:rPr>
          <w:color w:val="0000FF"/>
          <w:spacing w:val="-6"/>
        </w:rPr>
        <w:t> </w:t>
      </w:r>
      <w:r>
        <w:rPr>
          <w:spacing w:val="-10"/>
        </w:rPr>
        <w:t>)</w:t>
      </w:r>
    </w:p>
    <w:p>
      <w:pPr>
        <w:pStyle w:val="BodyText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10" w:after="0"/>
        <w:ind w:left="220" w:right="1398" w:firstLine="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standard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methodologies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analyze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energy,</w:t>
      </w:r>
      <w:r>
        <w:rPr>
          <w:spacing w:val="-3"/>
          <w:sz w:val="20"/>
        </w:rPr>
        <w:t> </w:t>
      </w:r>
      <w:r>
        <w:rPr>
          <w:sz w:val="20"/>
        </w:rPr>
        <w:t>economic,</w:t>
      </w:r>
      <w:r>
        <w:rPr>
          <w:spacing w:val="-3"/>
          <w:sz w:val="20"/>
        </w:rPr>
        <w:t> </w:t>
      </w:r>
      <w:r>
        <w:rPr>
          <w:sz w:val="20"/>
        </w:rPr>
        <w:t>and environmental aspects of energy systems (LO1)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1" w:after="0"/>
        <w:ind w:left="220" w:right="253" w:firstLine="0"/>
        <w:jc w:val="left"/>
        <w:rPr>
          <w:sz w:val="20"/>
        </w:rPr>
      </w:pPr>
      <w:r>
        <w:rPr>
          <w:sz w:val="20"/>
        </w:rPr>
        <w:t>Understand a broad array of technologies that are essential to the modern energy industry (energy generation</w:t>
      </w:r>
      <w:r>
        <w:rPr>
          <w:spacing w:val="-4"/>
          <w:sz w:val="20"/>
        </w:rPr>
        <w:t> </w:t>
      </w:r>
      <w:r>
        <w:rPr>
          <w:sz w:val="20"/>
        </w:rPr>
        <w:t>technologies,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technologies,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technologies)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in the context of global energy demand and environmental degradation (LO2)</w:t>
      </w: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22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/>
        <w:ind w:right="643"/>
        <w:jc w:val="both"/>
      </w:pPr>
      <w:r>
        <w:rPr/>
        <w:t>2) verifiable family emergency, 3) University-sanctioned religious holiday, or 4) participation in official University-sponsored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(for</w:t>
      </w:r>
      <w:r>
        <w:rPr>
          <w:spacing w:val="-4"/>
        </w:rPr>
        <w:t> </w:t>
      </w:r>
      <w:r>
        <w:rPr/>
        <w:t>documented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athletes</w:t>
      </w:r>
      <w:r>
        <w:rPr>
          <w:spacing w:val="-4"/>
        </w:rPr>
        <w:t> </w:t>
      </w:r>
      <w:r>
        <w:rPr/>
        <w:t>only),</w:t>
      </w:r>
      <w:r>
        <w:rPr>
          <w:spacing w:val="-4"/>
        </w:rPr>
        <w:t> </w:t>
      </w:r>
      <w:r>
        <w:rPr/>
        <w:t>excuse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documented</w:t>
      </w:r>
      <w:r>
        <w:rPr>
          <w:spacing w:val="-4"/>
        </w:rPr>
        <w:t> </w:t>
      </w:r>
      <w:r>
        <w:rPr/>
        <w:t>on official letterhead (as appropriate) and will be verified by the instructor.</w:t>
      </w:r>
    </w:p>
    <w:p>
      <w:pPr>
        <w:pStyle w:val="BodyText"/>
        <w:spacing w:before="12"/>
        <w:ind w:left="0"/>
      </w:pPr>
    </w:p>
    <w:p>
      <w:pPr>
        <w:spacing w:before="0"/>
        <w:ind w:left="22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1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10" w:after="0"/>
        <w:ind w:left="940" w:right="500" w:hanging="360"/>
        <w:jc w:val="left"/>
        <w:rPr>
          <w:sz w:val="20"/>
        </w:rPr>
      </w:pPr>
      <w:r>
        <w:rPr>
          <w:sz w:val="20"/>
        </w:rPr>
        <w:t>Francis</w:t>
      </w:r>
      <w:r>
        <w:rPr>
          <w:spacing w:val="-5"/>
          <w:sz w:val="20"/>
        </w:rPr>
        <w:t> </w:t>
      </w:r>
      <w:r>
        <w:rPr>
          <w:sz w:val="20"/>
        </w:rPr>
        <w:t>Vanek,</w:t>
      </w:r>
      <w:r>
        <w:rPr>
          <w:spacing w:val="-5"/>
          <w:sz w:val="20"/>
        </w:rPr>
        <w:t> </w:t>
      </w:r>
      <w:r>
        <w:rPr>
          <w:sz w:val="20"/>
        </w:rPr>
        <w:t>Louis</w:t>
      </w:r>
      <w:r>
        <w:rPr>
          <w:spacing w:val="-5"/>
          <w:sz w:val="20"/>
        </w:rPr>
        <w:t> </w:t>
      </w:r>
      <w:r>
        <w:rPr>
          <w:sz w:val="20"/>
        </w:rPr>
        <w:t>Albright,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Largus</w:t>
      </w:r>
      <w:r>
        <w:rPr>
          <w:spacing w:val="-5"/>
          <w:sz w:val="20"/>
        </w:rPr>
        <w:t> </w:t>
      </w:r>
      <w:r>
        <w:rPr>
          <w:sz w:val="20"/>
        </w:rPr>
        <w:t>Angenent,</w:t>
      </w:r>
      <w:r>
        <w:rPr>
          <w:spacing w:val="-5"/>
          <w:sz w:val="20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Systems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Evaluation</w:t>
        </w:r>
      </w:hyperlink>
      <w:r>
        <w:rPr>
          <w:i/>
          <w:color w:val="0000FF"/>
          <w:sz w:val="20"/>
          <w:u w:val="none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and Implementation, Second Edition</w:t>
        </w:r>
      </w:hyperlink>
      <w:r>
        <w:rPr>
          <w:sz w:val="20"/>
          <w:u w:val="none"/>
        </w:rPr>
        <w:t>, McGraw Hill. (2012).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ISBN-13: 978-0071787789.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870" w:footer="0" w:top="1380" w:bottom="280" w:left="1220" w:right="12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83" w:after="0"/>
        <w:ind w:left="940" w:right="1124" w:hanging="360"/>
        <w:jc w:val="left"/>
        <w:rPr>
          <w:sz w:val="20"/>
        </w:rPr>
      </w:pPr>
      <w:r>
        <w:rPr>
          <w:sz w:val="20"/>
        </w:rPr>
        <w:t>Richard</w:t>
      </w:r>
      <w:r>
        <w:rPr>
          <w:spacing w:val="-4"/>
          <w:sz w:val="20"/>
        </w:rPr>
        <w:t> </w:t>
      </w: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Muller,</w:t>
      </w:r>
      <w:r>
        <w:rPr>
          <w:spacing w:val="-4"/>
          <w:sz w:val="20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Future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Presidents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Norton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&amp;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Company,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Inc.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(2012). ISBN-13: 978-0393345100.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2" w:after="0"/>
        <w:ind w:left="939" w:right="0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Selected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readings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made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blackboard,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0" w:after="0"/>
        <w:ind w:left="1659" w:right="0" w:hanging="359"/>
        <w:jc w:val="left"/>
        <w:rPr>
          <w:i/>
          <w:sz w:val="20"/>
        </w:rPr>
      </w:pPr>
      <w:hyperlink r:id="rId9">
        <w:r>
          <w:rPr>
            <w:i/>
            <w:color w:val="0000FF"/>
            <w:sz w:val="20"/>
            <w:u w:val="single" w:color="0000FF"/>
          </w:rPr>
          <w:t>US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Department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(DOE)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Quadrennial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Review</w:t>
        </w:r>
      </w:hyperlink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0" w:after="0"/>
        <w:ind w:left="1659" w:right="0" w:hanging="359"/>
        <w:jc w:val="left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literature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textbooks</w:t>
      </w:r>
    </w:p>
    <w:p>
      <w:pPr>
        <w:pStyle w:val="Heading1"/>
        <w:spacing w:before="10"/>
      </w:pPr>
      <w:r>
        <w:rPr/>
        <w:t>OTHER</w:t>
      </w:r>
      <w:r>
        <w:rPr>
          <w:spacing w:val="-6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(NOT</w:t>
      </w:r>
      <w:r>
        <w:rPr>
          <w:spacing w:val="-5"/>
        </w:rPr>
        <w:t> </w:t>
      </w:r>
      <w:r>
        <w:rPr>
          <w:spacing w:val="-2"/>
        </w:rPr>
        <w:t>REQUIRED)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10" w:after="0"/>
        <w:ind w:left="940" w:right="523" w:hanging="360"/>
        <w:jc w:val="left"/>
        <w:rPr>
          <w:sz w:val="20"/>
        </w:rPr>
      </w:pPr>
      <w:r>
        <w:rPr>
          <w:sz w:val="20"/>
        </w:rPr>
        <w:t>John</w:t>
      </w:r>
      <w:r>
        <w:rPr>
          <w:spacing w:val="-4"/>
          <w:sz w:val="20"/>
        </w:rPr>
        <w:t> </w:t>
      </w:r>
      <w:r>
        <w:rPr>
          <w:sz w:val="20"/>
        </w:rPr>
        <w:t>Andrews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Nick</w:t>
      </w:r>
      <w:r>
        <w:rPr>
          <w:spacing w:val="-4"/>
          <w:sz w:val="20"/>
        </w:rPr>
        <w:t> </w:t>
      </w:r>
      <w:r>
        <w:rPr>
          <w:sz w:val="20"/>
        </w:rPr>
        <w:t>Jelly,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Impacts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Second Edition, Oxford University Press (2013). ISBN-13: 978-0199592371.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1" w:after="0"/>
        <w:ind w:left="940" w:right="435" w:hanging="360"/>
        <w:jc w:val="left"/>
        <w:rPr>
          <w:sz w:val="20"/>
        </w:rPr>
      </w:pPr>
      <w:r>
        <w:rPr>
          <w:sz w:val="20"/>
        </w:rPr>
        <w:t>Robert</w:t>
      </w:r>
      <w:r>
        <w:rPr>
          <w:spacing w:val="-4"/>
          <w:sz w:val="20"/>
        </w:rPr>
        <w:t> </w:t>
      </w:r>
      <w:r>
        <w:rPr>
          <w:sz w:val="20"/>
        </w:rPr>
        <w:t>L.</w:t>
      </w:r>
      <w:r>
        <w:rPr>
          <w:spacing w:val="-4"/>
          <w:sz w:val="20"/>
        </w:rPr>
        <w:t> </w:t>
      </w:r>
      <w:r>
        <w:rPr>
          <w:sz w:val="20"/>
        </w:rPr>
        <w:t>Jaffe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Washington</w:t>
      </w:r>
      <w:r>
        <w:rPr>
          <w:spacing w:val="-4"/>
          <w:sz w:val="20"/>
        </w:rPr>
        <w:t> </w:t>
      </w:r>
      <w:r>
        <w:rPr>
          <w:sz w:val="20"/>
        </w:rPr>
        <w:t>Taylor,</w:t>
      </w:r>
      <w:r>
        <w:rPr>
          <w:spacing w:val="-4"/>
          <w:sz w:val="20"/>
        </w:rPr>
        <w:t> </w:t>
      </w:r>
      <w:hyperlink r:id="rId11">
        <w:r>
          <w:rPr>
            <w:i/>
            <w:color w:val="1154CC"/>
            <w:sz w:val="20"/>
            <w:u w:val="single" w:color="1154CC"/>
          </w:rPr>
          <w:t>The</w:t>
        </w:r>
        <w:r>
          <w:rPr>
            <w:i/>
            <w:color w:val="1154CC"/>
            <w:spacing w:val="-4"/>
            <w:sz w:val="20"/>
            <w:u w:val="single" w:color="1154CC"/>
          </w:rPr>
          <w:t> </w:t>
        </w:r>
        <w:r>
          <w:rPr>
            <w:i/>
            <w:color w:val="1154CC"/>
            <w:sz w:val="20"/>
            <w:u w:val="single" w:color="1154CC"/>
          </w:rPr>
          <w:t>Physics</w:t>
        </w:r>
        <w:r>
          <w:rPr>
            <w:i/>
            <w:color w:val="1154CC"/>
            <w:spacing w:val="-4"/>
            <w:sz w:val="20"/>
            <w:u w:val="single" w:color="1154CC"/>
          </w:rPr>
          <w:t> </w:t>
        </w:r>
        <w:r>
          <w:rPr>
            <w:i/>
            <w:color w:val="1154CC"/>
            <w:sz w:val="20"/>
            <w:u w:val="single" w:color="1154CC"/>
          </w:rPr>
          <w:t>of</w:t>
        </w:r>
        <w:r>
          <w:rPr>
            <w:i/>
            <w:color w:val="1154CC"/>
            <w:spacing w:val="-4"/>
            <w:sz w:val="20"/>
            <w:u w:val="single" w:color="1154CC"/>
          </w:rPr>
          <w:t> </w:t>
        </w:r>
        <w:r>
          <w:rPr>
            <w:i/>
            <w:color w:val="1154CC"/>
            <w:sz w:val="20"/>
            <w:u w:val="single" w:color="1154CC"/>
          </w:rPr>
          <w:t>Energy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First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Edition,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University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Printing House, Cambridge (2018). ISBN-13: </w:t>
      </w:r>
      <w:r>
        <w:rPr>
          <w:color w:val="111111"/>
          <w:sz w:val="20"/>
          <w:u w:val="none"/>
        </w:rPr>
        <w:t>978-1107016651</w:t>
      </w:r>
      <w:r>
        <w:rPr>
          <w:sz w:val="20"/>
          <w:u w:val="none"/>
        </w:rPr>
        <w:t>.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870" w:footer="0" w:top="1380" w:bottom="280" w:left="1220" w:right="1220"/>
        </w:sectPr>
      </w:pPr>
    </w:p>
    <w:p>
      <w:pPr>
        <w:pStyle w:val="Heading2"/>
        <w:spacing w:before="83" w:after="3"/>
        <w:rPr>
          <w:b w:val="0"/>
        </w:rPr>
      </w:pPr>
      <w:r>
        <w:rPr>
          <w:spacing w:val="-2"/>
        </w:rPr>
        <w:t>Syllabus</w:t>
      </w:r>
      <w:r>
        <w:rPr>
          <w:b w:val="0"/>
          <w:spacing w:val="-2"/>
        </w:rPr>
        <w:t>:</w:t>
      </w:r>
    </w:p>
    <w:tbl>
      <w:tblPr>
        <w:tblW w:w="0" w:type="auto"/>
        <w:jc w:val="left"/>
        <w:tblInd w:w="11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240" w:hRule="atLeast"/>
        </w:trPr>
        <w:tc>
          <w:tcPr>
            <w:tcW w:w="135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Readings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8/26/19</w:t>
            </w:r>
          </w:p>
        </w:tc>
        <w:tc>
          <w:tcPr>
            <w:tcW w:w="330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Overview of the energy technology landscape in the context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 and environmental degradation</w:t>
            </w:r>
          </w:p>
        </w:tc>
        <w:tc>
          <w:tcPr>
            <w:tcW w:w="37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49" w:lineRule="auto"/>
              <w:ind w:right="1534"/>
              <w:rPr>
                <w:sz w:val="20"/>
              </w:rPr>
            </w:pPr>
            <w:r>
              <w:rPr>
                <w:sz w:val="20"/>
              </w:rPr>
              <w:t>Vanek, Chs. 1, 4 Muller,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35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5"/>
                <w:sz w:val="20"/>
              </w:rPr>
              <w:t> Day</w:t>
            </w:r>
          </w:p>
        </w:tc>
        <w:tc>
          <w:tcPr>
            <w:tcW w:w="1215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9/2/19</w:t>
            </w:r>
          </w:p>
        </w:tc>
        <w:tc>
          <w:tcPr>
            <w:tcW w:w="330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CLASS</w:t>
            </w:r>
          </w:p>
        </w:tc>
        <w:tc>
          <w:tcPr>
            <w:tcW w:w="372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CLASS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9/9/19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economic, and environmental analysis of energy systems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DE9D9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generation</w:t>
            </w:r>
          </w:p>
        </w:tc>
      </w:tr>
      <w:tr>
        <w:trPr>
          <w:trHeight w:val="1425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9/16/19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9" w:lineRule="auto"/>
              <w:ind w:right="169"/>
              <w:rPr>
                <w:sz w:val="20"/>
              </w:rPr>
            </w:pPr>
            <w:r>
              <w:rPr>
                <w:sz w:val="20"/>
              </w:rPr>
              <w:t>Fossil-based electricity generation: Unconventional oil and gas extraction, tar sands, offshore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drilling,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fracking,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“Clean” coal technology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120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9/23/19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ind w:right="399"/>
              <w:rPr>
                <w:sz w:val="20"/>
              </w:rPr>
            </w:pPr>
            <w:r>
              <w:rPr>
                <w:sz w:val="20"/>
              </w:rPr>
              <w:t>Nuclear: Status quo and advanced designs (including thorium, modular nuclear, and fusion), Environmental considerations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post-Fukushima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1,11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9/30/19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647"/>
              <w:jc w:val="both"/>
              <w:rPr>
                <w:sz w:val="20"/>
              </w:rPr>
            </w:pPr>
            <w:r>
              <w:rPr>
                <w:sz w:val="20"/>
              </w:rPr>
              <w:t>Wind,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offshore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advanced concepts such as high-altitude wind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BF1DD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shd w:val="clear" w:color="auto" w:fill="EBF1DD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10/7/19</w:t>
            </w:r>
          </w:p>
        </w:tc>
        <w:tc>
          <w:tcPr>
            <w:tcW w:w="3300" w:type="dxa"/>
            <w:shd w:val="clear" w:color="auto" w:fill="EBF1DD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Solar,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thermal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photovoltaics, and innovations in solar financing</w:t>
            </w:r>
          </w:p>
        </w:tc>
        <w:tc>
          <w:tcPr>
            <w:tcW w:w="3720" w:type="dxa"/>
            <w:shd w:val="clear" w:color="auto" w:fill="EBF1DD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35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Break</w:t>
            </w:r>
          </w:p>
        </w:tc>
        <w:tc>
          <w:tcPr>
            <w:tcW w:w="1215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10/14/19</w:t>
            </w:r>
          </w:p>
        </w:tc>
        <w:tc>
          <w:tcPr>
            <w:tcW w:w="330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CLASS</w:t>
            </w:r>
          </w:p>
        </w:tc>
        <w:tc>
          <w:tcPr>
            <w:tcW w:w="3720" w:type="dxa"/>
            <w:shd w:val="clear" w:color="auto" w:fill="FFFF00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CLASS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10/21/19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Renewables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wind: Geothermal, biomass, ocean/tide, hydro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DE9D9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10/28/19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Grid integration: Integration of renewables onto the grid, and critical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future smart electricity grid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DE9D9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storage</w:t>
            </w:r>
          </w:p>
        </w:tc>
      </w:tr>
      <w:tr>
        <w:trPr>
          <w:trHeight w:val="144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11/4/19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80"/>
              <w:rPr>
                <w:sz w:val="20"/>
              </w:rPr>
            </w:pPr>
            <w:r>
              <w:rPr>
                <w:sz w:val="20"/>
              </w:rPr>
              <w:t>Grid scale storage including batteries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(historical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advanced concepts),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compressed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energy storage, flywheels, supercapacitors, and chemical </w:t>
            </w:r>
            <w:r>
              <w:rPr>
                <w:spacing w:val="-2"/>
                <w:sz w:val="20"/>
              </w:rPr>
              <w:t>fuels</w:t>
            </w:r>
          </w:p>
        </w:tc>
        <w:tc>
          <w:tcPr>
            <w:tcW w:w="3720" w:type="dxa"/>
          </w:tcPr>
          <w:p>
            <w:pPr>
              <w:pStyle w:val="TableParagraph"/>
              <w:spacing w:line="249" w:lineRule="auto"/>
              <w:ind w:right="2253"/>
              <w:rPr>
                <w:sz w:val="20"/>
              </w:rPr>
            </w:pPr>
            <w:r>
              <w:rPr>
                <w:sz w:val="20"/>
              </w:rPr>
              <w:t>Muller Ch.10 Additional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DE9D9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Transportation</w:t>
            </w:r>
          </w:p>
        </w:tc>
      </w:tr>
      <w:tr>
        <w:trPr>
          <w:trHeight w:val="48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11/11/19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liquid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fuels: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biofuels and synfuels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11/18/19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Advanced automobile 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Hybrids,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electric, natural gas, and fuel cell cars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DE9D9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Pollution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impact</w:t>
            </w:r>
          </w:p>
        </w:tc>
      </w:tr>
    </w:tbl>
    <w:p>
      <w:pPr>
        <w:spacing w:after="0" w:line="213" w:lineRule="exact"/>
        <w:rPr>
          <w:sz w:val="20"/>
        </w:rPr>
        <w:sectPr>
          <w:pgSz w:w="12240" w:h="15840"/>
          <w:pgMar w:header="870" w:footer="0" w:top="1380" w:bottom="280" w:left="1220" w:right="1220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96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11/25/19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Carbon capture and sequestration, geoengineering, reducing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renewable energy technologies on wildlife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12/2/19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80"/>
              <w:rPr>
                <w:sz w:val="20"/>
              </w:rPr>
            </w:pPr>
            <w:r>
              <w:rPr>
                <w:sz w:val="20"/>
              </w:rPr>
              <w:t>Technologies for disaster prevention and a review of past environmental and human disasters due to energy technologies,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Deepwater Horizon, Fukushima, TN coal ash spill, and others</w:t>
            </w:r>
          </w:p>
        </w:tc>
        <w:tc>
          <w:tcPr>
            <w:tcW w:w="3720" w:type="dxa"/>
          </w:tcPr>
          <w:p>
            <w:pPr>
              <w:pStyle w:val="TableParagraph"/>
              <w:spacing w:line="249" w:lineRule="auto"/>
              <w:ind w:right="1684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1,2 Other: TBB</w:t>
            </w:r>
          </w:p>
        </w:tc>
      </w:tr>
      <w:tr>
        <w:trPr>
          <w:trHeight w:val="24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12/9/19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Assignments</w:t>
      </w:r>
    </w:p>
    <w:p>
      <w:pPr>
        <w:spacing w:before="1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pStyle w:val="BodyText"/>
      </w:pPr>
      <w:r>
        <w:rPr/>
        <w:t>There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weekly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>
          <w:spacing w:val="-4"/>
        </w:rPr>
        <w:t>sets.</w:t>
      </w:r>
    </w:p>
    <w:p>
      <w:pPr>
        <w:pStyle w:val="BodyText"/>
        <w:spacing w:before="20"/>
        <w:ind w:left="0"/>
      </w:pPr>
    </w:p>
    <w:p>
      <w:pPr>
        <w:spacing w:before="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Final</w:t>
      </w:r>
      <w:r>
        <w:rPr>
          <w:i/>
          <w:spacing w:val="-6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Project</w:t>
      </w:r>
    </w:p>
    <w:p>
      <w:pPr>
        <w:pStyle w:val="BodyText"/>
        <w:spacing w:line="249" w:lineRule="auto"/>
        <w:ind w:right="278"/>
      </w:pPr>
      <w:r>
        <w:rPr/>
        <w:t>Each student will complete a final project.</w:t>
      </w:r>
      <w:r>
        <w:rPr>
          <w:spacing w:val="40"/>
        </w:rPr>
        <w:t> </w:t>
      </w:r>
      <w:r>
        <w:rPr/>
        <w:t>For the project, each student will choose a promising energy technology that is not yet commercialized and perform an analysis of the technology, including: (1) Economic and market analysis indicating the competitiveness relative to entrenched technologies in the same space; (2) Environmental analysis of likely environmental impact of this technology; and (3) Technological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deployment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suggested</w:t>
      </w:r>
      <w:r>
        <w:rPr>
          <w:spacing w:val="-4"/>
        </w:rPr>
        <w:t> </w:t>
      </w:r>
      <w:r>
        <w:rPr/>
        <w:t>pathways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overcoming these challenges.</w:t>
      </w: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3"/>
        <w:ind w:left="0"/>
      </w:pPr>
    </w:p>
    <w:tbl>
      <w:tblPr>
        <w:tblW w:w="0" w:type="auto"/>
        <w:jc w:val="left"/>
        <w:tblInd w:w="11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0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BodyText"/>
        <w:spacing w:before="17"/>
        <w:ind w:left="0"/>
      </w:pPr>
    </w:p>
    <w:p>
      <w:pPr>
        <w:pStyle w:val="BodyText"/>
        <w:spacing w:before="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  <w:ind w:left="0"/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right="7271"/>
      </w:pPr>
      <w:r>
        <w:rPr/>
        <w:t>Mid-term</w:t>
      </w:r>
      <w:r>
        <w:rPr>
          <w:spacing w:val="-14"/>
        </w:rPr>
        <w:t> </w:t>
      </w:r>
      <w:r>
        <w:rPr/>
        <w:t>exam:</w:t>
      </w:r>
      <w:r>
        <w:rPr>
          <w:spacing w:val="-14"/>
        </w:rPr>
        <w:t> </w:t>
      </w:r>
      <w:r>
        <w:rPr/>
        <w:t>None Final exam: None</w:t>
      </w:r>
    </w:p>
    <w:p>
      <w:pPr>
        <w:pStyle w:val="BodyText"/>
        <w:spacing w:before="12"/>
        <w:ind w:left="0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right="27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instructor.</w:t>
      </w:r>
    </w:p>
    <w:p>
      <w:pPr>
        <w:pStyle w:val="BodyText"/>
        <w:spacing w:before="11"/>
        <w:ind w:left="0"/>
      </w:pPr>
    </w:p>
    <w:p>
      <w:pPr>
        <w:pStyle w:val="Heading1"/>
        <w:spacing w:before="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right="27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12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spacing w:after="0" w:line="249" w:lineRule="auto"/>
        <w:sectPr>
          <w:pgSz w:w="12240" w:h="15840"/>
          <w:pgMar w:header="870" w:footer="0" w:top="1380" w:bottom="280" w:left="1220" w:right="1220"/>
        </w:sectPr>
      </w:pPr>
    </w:p>
    <w:p>
      <w:pPr>
        <w:pStyle w:val="BodyText"/>
        <w:spacing w:line="249" w:lineRule="auto" w:before="83"/>
        <w:ind w:right="299"/>
      </w:pPr>
      <w:r>
        <w:rPr/>
        <w:t>If you have a physical, psychological, medical or learning disability that may impact your course work, please contact Disability Support Services, ECC (Educational Communications Center) Building, room128,</w:t>
      </w:r>
      <w:r>
        <w:rPr>
          <w:spacing w:val="-3"/>
        </w:rPr>
        <w:t> </w:t>
      </w:r>
      <w:r>
        <w:rPr/>
        <w:t>(631)</w:t>
      </w:r>
      <w:r>
        <w:rPr>
          <w:spacing w:val="-3"/>
        </w:rPr>
        <w:t> </w:t>
      </w:r>
      <w:r>
        <w:rPr/>
        <w:t>632-6748.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accommodations,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any,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and appropriate. All information and documentation is confidential.</w:t>
      </w:r>
    </w:p>
    <w:p>
      <w:pPr>
        <w:pStyle w:val="BodyText"/>
        <w:spacing w:before="13"/>
        <w:ind w:left="0"/>
      </w:pPr>
    </w:p>
    <w:p>
      <w:pPr>
        <w:pStyle w:val="BodyText"/>
        <w:spacing w:line="249" w:lineRule="auto" w:before="0"/>
        <w:ind w:right="27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13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3"/>
        <w:ind w:left="0"/>
      </w:pPr>
    </w:p>
    <w:p>
      <w:pPr>
        <w:pStyle w:val="BodyText"/>
        <w:spacing w:line="249" w:lineRule="auto" w:before="0"/>
        <w:ind w:right="27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14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5"/>
        <w:ind w:left="0"/>
      </w:pPr>
    </w:p>
    <w:p>
      <w:pPr>
        <w:pStyle w:val="BodyText"/>
        <w:spacing w:line="249" w:lineRule="auto" w:before="1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870" w:footer="0" w:top="138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901700</wp:posOffset>
              </wp:positionH>
              <wp:positionV relativeFrom="page">
                <wp:posOffset>539797</wp:posOffset>
              </wp:positionV>
              <wp:extent cx="224028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02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Modern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Energy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Technologies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(ESE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509)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42.50375pt;width:176.4pt;height:13pt;mso-position-horizontal-relative:page;mso-position-vertical-relative:page;z-index:-1593036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Modern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Energy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Technologies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(ESE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509)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6064250</wp:posOffset>
              </wp:positionH>
              <wp:positionV relativeFrom="page">
                <wp:posOffset>539797</wp:posOffset>
              </wp:positionV>
              <wp:extent cx="80264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2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pt;margin-top:42.50375pt;width:63.2pt;height:13pt;mso-position-horizontal-relative:page;mso-position-vertical-relative:page;z-index:-15929856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94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0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2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2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9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atthew.eisaman@stonybrook.edu" TargetMode="External"/><Relationship Id="rId7" Type="http://schemas.openxmlformats.org/officeDocument/2006/relationships/hyperlink" Target="http://www.amazon.com/Energy-Systems-Engineering-Evaluation-Implementation/dp/007178778X/ref%3Dsr_1_21?s=books&amp;ie=UTF8&amp;qid=1422850090&amp;sr=1-21&amp;keywords=energy%2Btechnologies" TargetMode="External"/><Relationship Id="rId8" Type="http://schemas.openxmlformats.org/officeDocument/2006/relationships/hyperlink" Target="http://www.amazon.com/Energy-Future-Presidents-Science-Headlines/dp/0393345106/ref%3Dpd_cp_b_1" TargetMode="External"/><Relationship Id="rId9" Type="http://schemas.openxmlformats.org/officeDocument/2006/relationships/hyperlink" Target="http://energy.gov/downloads/first-quadrennial-technology-review-qtr-2011" TargetMode="External"/><Relationship Id="rId10" Type="http://schemas.openxmlformats.org/officeDocument/2006/relationships/hyperlink" Target="http://www.amazon.com/Energy-Science-Principles-Technologies-Impacts/dp/0199592373/ref%3Dsr_1_5?s=books&amp;ie=UTF8&amp;qid=1422848977&amp;sr=1-5&amp;keywords=energy%2Btechnologies" TargetMode="External"/><Relationship Id="rId11" Type="http://schemas.openxmlformats.org/officeDocument/2006/relationships/hyperlink" Target="https://www.amazon.com/Physics-Energy-Robert-L-Jaffe/dp/1107016657" TargetMode="External"/><Relationship Id="rId12" Type="http://schemas.openxmlformats.org/officeDocument/2006/relationships/hyperlink" Target="http://blackboard.stonybrook.edu/" TargetMode="External"/><Relationship Id="rId13" Type="http://schemas.openxmlformats.org/officeDocument/2006/relationships/hyperlink" Target="http://www.stonybrook.edu/ehs/fire/disabilities" TargetMode="External"/><Relationship Id="rId14" Type="http://schemas.openxmlformats.org/officeDocument/2006/relationships/hyperlink" Target="http://www.stonybrook.edu/uaa/academicjudiciary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2025-10-30T18:34:44Z</dcterms:created>
  <dcterms:modified xsi:type="dcterms:W3CDTF">2025-10-30T18:34:44Z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m75</vt:lpwstr>
  </property>
  <property fmtid="{D5CDD505-2E9C-101B-9397-08002B2CF9AE}" pid="4" name="LastSaved">
    <vt:filetime>2025-10-30T00:00:00Z</vt:filetime>
  </property>
</Properties>
</file>